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4" w:rsidRPr="00205D64" w:rsidRDefault="00205D64" w:rsidP="003340D2">
      <w:pPr>
        <w:autoSpaceDE/>
        <w:autoSpaceDN/>
        <w:adjustRightInd/>
        <w:spacing w:after="180" w:line="276" w:lineRule="auto"/>
        <w:ind w:right="425" w:firstLine="0"/>
        <w:jc w:val="center"/>
        <w:rPr>
          <w:rFonts w:eastAsia="Calibri"/>
          <w:b/>
          <w:lang w:eastAsia="en-US"/>
        </w:rPr>
      </w:pPr>
      <w:r w:rsidRPr="00205D64">
        <w:rPr>
          <w:rFonts w:eastAsia="Calibri"/>
          <w:b/>
          <w:lang w:eastAsia="en-US"/>
        </w:rPr>
        <w:t>Оборудование жилищного фонда</w:t>
      </w:r>
      <w:r w:rsidRPr="00205D64">
        <w:rPr>
          <w:rFonts w:ascii="Arial" w:hAnsi="Arial"/>
          <w:sz w:val="18"/>
          <w:szCs w:val="16"/>
        </w:rPr>
        <w:t xml:space="preserve"> </w:t>
      </w:r>
    </w:p>
    <w:p w:rsidR="00205D64" w:rsidRPr="00205D64" w:rsidRDefault="00205D64" w:rsidP="00E97109">
      <w:pPr>
        <w:autoSpaceDE/>
        <w:autoSpaceDN/>
        <w:adjustRightInd/>
        <w:spacing w:line="276" w:lineRule="auto"/>
        <w:ind w:left="8220"/>
        <w:rPr>
          <w:rFonts w:eastAsia="Calibri"/>
          <w:sz w:val="18"/>
          <w:szCs w:val="18"/>
          <w:lang w:eastAsia="en-US"/>
        </w:rPr>
      </w:pPr>
      <w:r w:rsidRPr="00205D64">
        <w:rPr>
          <w:rFonts w:eastAsia="Calibri"/>
          <w:sz w:val="18"/>
          <w:szCs w:val="18"/>
          <w:lang w:eastAsia="en-US"/>
        </w:rPr>
        <w:t>процентов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156"/>
        <w:gridCol w:w="1155"/>
        <w:gridCol w:w="1155"/>
        <w:gridCol w:w="1155"/>
        <w:gridCol w:w="1155"/>
      </w:tblGrid>
      <w:tr w:rsidR="00C42818" w:rsidRPr="00E97109" w:rsidTr="00E43CB0">
        <w:tc>
          <w:tcPr>
            <w:tcW w:w="4005" w:type="dxa"/>
            <w:shd w:val="clear" w:color="auto" w:fill="auto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8A099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8A099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8A099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8A099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C42818" w:rsidRPr="00E97109" w:rsidTr="00E43CB0">
        <w:tc>
          <w:tcPr>
            <w:tcW w:w="4005" w:type="dxa"/>
            <w:shd w:val="clear" w:color="auto" w:fill="auto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Жилищный фонд-всего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205D64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C42818" w:rsidRPr="00E97109" w:rsidTr="00E43CB0">
        <w:tc>
          <w:tcPr>
            <w:tcW w:w="4005" w:type="dxa"/>
            <w:shd w:val="clear" w:color="auto" w:fill="auto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 xml:space="preserve">в том </w:t>
            </w:r>
            <w:proofErr w:type="gramStart"/>
            <w:r w:rsidRPr="00205D64">
              <w:rPr>
                <w:sz w:val="22"/>
                <w:szCs w:val="22"/>
                <w:lang w:eastAsia="en-US"/>
              </w:rPr>
              <w:t>числе</w:t>
            </w:r>
            <w:proofErr w:type="gramEnd"/>
            <w:r w:rsidRPr="00205D64">
              <w:rPr>
                <w:sz w:val="22"/>
                <w:szCs w:val="22"/>
                <w:lang w:eastAsia="en-US"/>
              </w:rPr>
              <w:t xml:space="preserve"> оборудованный: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42818" w:rsidRPr="00E97109" w:rsidTr="00E43CB0">
        <w:tc>
          <w:tcPr>
            <w:tcW w:w="4005" w:type="dxa"/>
            <w:shd w:val="clear" w:color="auto" w:fill="auto"/>
            <w:vAlign w:val="bottom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водопроводом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98,6</w:t>
            </w:r>
          </w:p>
        </w:tc>
      </w:tr>
      <w:tr w:rsidR="00C42818" w:rsidRPr="00E97109" w:rsidTr="00E43CB0">
        <w:tc>
          <w:tcPr>
            <w:tcW w:w="4005" w:type="dxa"/>
            <w:shd w:val="clear" w:color="auto" w:fill="auto"/>
            <w:vAlign w:val="bottom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водоотведением (канализацией)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98,4</w:t>
            </w:r>
          </w:p>
        </w:tc>
      </w:tr>
      <w:tr w:rsidR="00C42818" w:rsidRPr="00E97109" w:rsidTr="00E43CB0">
        <w:tc>
          <w:tcPr>
            <w:tcW w:w="4005" w:type="dxa"/>
            <w:shd w:val="clear" w:color="auto" w:fill="auto"/>
            <w:vAlign w:val="bottom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отоплением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6F1AF3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6F1AF3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6F1AF3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6F1AF3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6F1AF3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98,3</w:t>
            </w:r>
          </w:p>
        </w:tc>
      </w:tr>
      <w:tr w:rsidR="00C42818" w:rsidRPr="00E97109" w:rsidTr="00E43CB0">
        <w:tc>
          <w:tcPr>
            <w:tcW w:w="4005" w:type="dxa"/>
            <w:shd w:val="clear" w:color="auto" w:fill="auto"/>
            <w:vAlign w:val="bottom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горячим водоснабжением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94,2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92,8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</w:t>
            </w:r>
          </w:p>
        </w:tc>
      </w:tr>
      <w:tr w:rsidR="00C42818" w:rsidRPr="00E97109" w:rsidTr="00E43CB0">
        <w:tc>
          <w:tcPr>
            <w:tcW w:w="4005" w:type="dxa"/>
            <w:shd w:val="clear" w:color="auto" w:fill="auto"/>
            <w:vAlign w:val="bottom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ваннами (душем)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</w:tc>
      </w:tr>
      <w:tr w:rsidR="00C42818" w:rsidRPr="00E97109" w:rsidTr="00E43CB0">
        <w:tc>
          <w:tcPr>
            <w:tcW w:w="4005" w:type="dxa"/>
            <w:shd w:val="clear" w:color="auto" w:fill="auto"/>
            <w:vAlign w:val="bottom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205D64">
              <w:rPr>
                <w:sz w:val="22"/>
                <w:szCs w:val="22"/>
                <w:lang w:eastAsia="en-US"/>
              </w:rPr>
              <w:t>азом</w:t>
            </w:r>
            <w:r>
              <w:rPr>
                <w:sz w:val="22"/>
                <w:szCs w:val="22"/>
                <w:lang w:eastAsia="en-US"/>
              </w:rPr>
              <w:t xml:space="preserve"> (сетевым, сжиженным)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</w:tr>
      <w:tr w:rsidR="00C42818" w:rsidRPr="00E97109" w:rsidTr="00E43CB0">
        <w:tc>
          <w:tcPr>
            <w:tcW w:w="4005" w:type="dxa"/>
            <w:shd w:val="clear" w:color="auto" w:fill="auto"/>
            <w:vAlign w:val="bottom"/>
          </w:tcPr>
          <w:p w:rsidR="00C42818" w:rsidRPr="00205D64" w:rsidRDefault="00C42818" w:rsidP="00E97109">
            <w:pPr>
              <w:autoSpaceDE/>
              <w:autoSpaceDN/>
              <w:adjustRightInd/>
              <w:spacing w:before="40" w:after="40"/>
              <w:ind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205D64">
              <w:rPr>
                <w:sz w:val="22"/>
                <w:szCs w:val="22"/>
                <w:lang w:eastAsia="en-US"/>
              </w:rPr>
              <w:t>напольными электрическими плитами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C42818" w:rsidRPr="00205D64" w:rsidRDefault="00C42818" w:rsidP="00953564">
            <w:pPr>
              <w:autoSpaceDE/>
              <w:autoSpaceDN/>
              <w:adjustRightInd/>
              <w:spacing w:before="40" w:after="40"/>
              <w:ind w:rightChars="20" w:right="56"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57,0</w:t>
            </w:r>
          </w:p>
        </w:tc>
      </w:tr>
    </w:tbl>
    <w:p w:rsidR="00205D64" w:rsidRPr="003340D2" w:rsidRDefault="00205D64" w:rsidP="00205D64">
      <w:pPr>
        <w:autoSpaceDE/>
        <w:autoSpaceDN/>
        <w:adjustRightInd/>
        <w:spacing w:after="200" w:line="276" w:lineRule="auto"/>
        <w:ind w:right="707" w:firstLine="0"/>
        <w:jc w:val="center"/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</w:p>
    <w:p w:rsidR="007A5EBF" w:rsidRPr="00E97109" w:rsidRDefault="00205D64" w:rsidP="003340D2">
      <w:pPr>
        <w:autoSpaceDE/>
        <w:autoSpaceDN/>
        <w:adjustRightInd/>
        <w:spacing w:after="120"/>
        <w:ind w:firstLine="0"/>
        <w:jc w:val="center"/>
        <w:rPr>
          <w:rFonts w:eastAsia="Calibri"/>
          <w:b/>
          <w:lang w:eastAsia="en-US"/>
        </w:rPr>
      </w:pPr>
      <w:r w:rsidRPr="00205D64">
        <w:rPr>
          <w:rFonts w:eastAsia="Calibri"/>
          <w:b/>
          <w:lang w:eastAsia="en-US"/>
        </w:rPr>
        <w:t>Приборы учета потребления коммунальных услуг</w:t>
      </w:r>
      <w:r w:rsidRPr="00E97109">
        <w:rPr>
          <w:rFonts w:eastAsia="Calibri"/>
          <w:b/>
          <w:lang w:eastAsia="en-US"/>
        </w:rPr>
        <w:t xml:space="preserve"> </w:t>
      </w:r>
    </w:p>
    <w:p w:rsidR="00342138" w:rsidRDefault="00342138" w:rsidP="0034213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93"/>
      </w:tblGrid>
      <w:tr w:rsidR="00342138" w:rsidTr="00D677ED">
        <w:tc>
          <w:tcPr>
            <w:tcW w:w="4888" w:type="dxa"/>
            <w:shd w:val="clear" w:color="auto" w:fill="auto"/>
          </w:tcPr>
          <w:p w:rsidR="00342138" w:rsidRDefault="00342138" w:rsidP="00E97109">
            <w:pPr>
              <w:spacing w:before="40" w:after="40"/>
              <w:ind w:firstLine="0"/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342138" w:rsidRPr="00E97109" w:rsidRDefault="00342138" w:rsidP="00C42818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 w:rsidRPr="00E97109">
              <w:rPr>
                <w:b/>
                <w:sz w:val="22"/>
                <w:szCs w:val="22"/>
              </w:rPr>
              <w:t>Фактически оснащ</w:t>
            </w:r>
            <w:r w:rsidR="00C42818">
              <w:rPr>
                <w:b/>
                <w:sz w:val="22"/>
                <w:szCs w:val="22"/>
              </w:rPr>
              <w:t xml:space="preserve">ено приборами учета </w:t>
            </w:r>
            <w:proofErr w:type="gramStart"/>
            <w:r w:rsidR="00C42818">
              <w:rPr>
                <w:b/>
                <w:sz w:val="22"/>
                <w:szCs w:val="22"/>
              </w:rPr>
              <w:t>на конец</w:t>
            </w:r>
            <w:proofErr w:type="gramEnd"/>
            <w:r w:rsidR="00C42818">
              <w:rPr>
                <w:b/>
                <w:sz w:val="22"/>
                <w:szCs w:val="22"/>
              </w:rPr>
              <w:t xml:space="preserve"> 2020</w:t>
            </w:r>
            <w:r w:rsidRPr="00E97109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342138" w:rsidTr="00D677ED">
        <w:tc>
          <w:tcPr>
            <w:tcW w:w="4888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многоквартирных домов, оснащенных коллективными (общедомовыми)приборами учета потребляемых коммунальных ресурсов, единиц</w:t>
            </w:r>
          </w:p>
        </w:tc>
        <w:tc>
          <w:tcPr>
            <w:tcW w:w="4893" w:type="dxa"/>
            <w:shd w:val="clear" w:color="auto" w:fill="auto"/>
          </w:tcPr>
          <w:p w:rsidR="00342138" w:rsidRDefault="00342138" w:rsidP="00E97109">
            <w:pPr>
              <w:spacing w:before="40" w:after="40"/>
              <w:ind w:firstLine="0"/>
              <w:jc w:val="center"/>
            </w:pPr>
          </w:p>
        </w:tc>
      </w:tr>
      <w:tr w:rsidR="00342138" w:rsidTr="00D677ED">
        <w:tc>
          <w:tcPr>
            <w:tcW w:w="4888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4893" w:type="dxa"/>
            <w:shd w:val="clear" w:color="auto" w:fill="auto"/>
          </w:tcPr>
          <w:p w:rsidR="00342138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35954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28137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30933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37311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</w:tr>
      <w:tr w:rsidR="00342138" w:rsidTr="00D677ED">
        <w:tc>
          <w:tcPr>
            <w:tcW w:w="4888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квартир в многоквартирных домах, оснащенных индивидуальными</w:t>
            </w:r>
            <w:r w:rsidR="003340D2">
              <w:rPr>
                <w:sz w:val="22"/>
                <w:szCs w:val="22"/>
              </w:rPr>
              <w:t>, общими (квартирными)</w:t>
            </w:r>
            <w:r w:rsidRPr="00E97109">
              <w:rPr>
                <w:sz w:val="22"/>
                <w:szCs w:val="22"/>
              </w:rPr>
              <w:t xml:space="preserve"> приборами учета потребляемых коммунальных ресурсов, единиц</w:t>
            </w:r>
          </w:p>
        </w:tc>
        <w:tc>
          <w:tcPr>
            <w:tcW w:w="4893" w:type="dxa"/>
            <w:shd w:val="clear" w:color="auto" w:fill="auto"/>
          </w:tcPr>
          <w:p w:rsidR="00342138" w:rsidRPr="00E97109" w:rsidRDefault="0034213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3520678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3333162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234289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4476536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C4281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8435</w:t>
            </w:r>
          </w:p>
        </w:tc>
      </w:tr>
      <w:tr w:rsidR="00342138" w:rsidTr="00D677ED">
        <w:tc>
          <w:tcPr>
            <w:tcW w:w="4888" w:type="dxa"/>
            <w:shd w:val="clear" w:color="auto" w:fill="auto"/>
          </w:tcPr>
          <w:p w:rsidR="00342138" w:rsidRPr="00E97109" w:rsidRDefault="00342138" w:rsidP="00E97109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4893" w:type="dxa"/>
            <w:shd w:val="clear" w:color="auto" w:fill="auto"/>
          </w:tcPr>
          <w:p w:rsidR="00342138" w:rsidRPr="00E97109" w:rsidRDefault="00342138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3340D2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11278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горячей воды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3340D2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отопления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3340D2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3340D2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125321</w:t>
            </w:r>
          </w:p>
        </w:tc>
      </w:tr>
      <w:tr w:rsidR="00E97109" w:rsidTr="00D677ED">
        <w:tc>
          <w:tcPr>
            <w:tcW w:w="4888" w:type="dxa"/>
            <w:shd w:val="clear" w:color="auto" w:fill="auto"/>
          </w:tcPr>
          <w:p w:rsidR="008D08A1" w:rsidRPr="00E97109" w:rsidRDefault="008D08A1" w:rsidP="00E97109">
            <w:pPr>
              <w:spacing w:before="40" w:after="40"/>
              <w:ind w:left="284" w:firstLine="0"/>
              <w:jc w:val="left"/>
              <w:rPr>
                <w:sz w:val="22"/>
                <w:szCs w:val="22"/>
              </w:rPr>
            </w:pPr>
            <w:r w:rsidRPr="00E97109">
              <w:rPr>
                <w:sz w:val="22"/>
                <w:szCs w:val="22"/>
              </w:rPr>
              <w:t>газа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8D08A1" w:rsidRPr="00E97109" w:rsidRDefault="003340D2" w:rsidP="00CF0A51">
            <w:pPr>
              <w:spacing w:before="40" w:after="40"/>
              <w:ind w:right="85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14622</w:t>
            </w:r>
          </w:p>
        </w:tc>
      </w:tr>
    </w:tbl>
    <w:p w:rsidR="00342138" w:rsidRPr="00342138" w:rsidRDefault="00342138" w:rsidP="003340D2">
      <w:pPr>
        <w:spacing w:before="40" w:after="40"/>
        <w:ind w:firstLine="0"/>
      </w:pPr>
    </w:p>
    <w:sectPr w:rsidR="00342138" w:rsidRPr="00342138" w:rsidSect="00205D64">
      <w:pgSz w:w="11906" w:h="16838"/>
      <w:pgMar w:top="1134" w:right="70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2522C"/>
    <w:rsid w:val="001B6C7E"/>
    <w:rsid w:val="001E77A1"/>
    <w:rsid w:val="001F70F3"/>
    <w:rsid w:val="00205D64"/>
    <w:rsid w:val="00210B91"/>
    <w:rsid w:val="00227DBA"/>
    <w:rsid w:val="00280FF8"/>
    <w:rsid w:val="002A6277"/>
    <w:rsid w:val="0032140A"/>
    <w:rsid w:val="00322774"/>
    <w:rsid w:val="00324693"/>
    <w:rsid w:val="003340D2"/>
    <w:rsid w:val="00342138"/>
    <w:rsid w:val="003865D2"/>
    <w:rsid w:val="003F36C1"/>
    <w:rsid w:val="0042293E"/>
    <w:rsid w:val="00476352"/>
    <w:rsid w:val="00524617"/>
    <w:rsid w:val="00531B90"/>
    <w:rsid w:val="005331CE"/>
    <w:rsid w:val="0062335C"/>
    <w:rsid w:val="006442ED"/>
    <w:rsid w:val="00685DCA"/>
    <w:rsid w:val="006D1386"/>
    <w:rsid w:val="006F1AF3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3564"/>
    <w:rsid w:val="00957FBA"/>
    <w:rsid w:val="00971877"/>
    <w:rsid w:val="00A030B5"/>
    <w:rsid w:val="00A360E3"/>
    <w:rsid w:val="00A45844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B7434"/>
    <w:rsid w:val="00C04FE8"/>
    <w:rsid w:val="00C23A82"/>
    <w:rsid w:val="00C42818"/>
    <w:rsid w:val="00C5160E"/>
    <w:rsid w:val="00C65DFD"/>
    <w:rsid w:val="00CA146D"/>
    <w:rsid w:val="00CF0A51"/>
    <w:rsid w:val="00D23B3F"/>
    <w:rsid w:val="00D27777"/>
    <w:rsid w:val="00D42A3D"/>
    <w:rsid w:val="00D677ED"/>
    <w:rsid w:val="00DA416E"/>
    <w:rsid w:val="00E40EB5"/>
    <w:rsid w:val="00E43CB0"/>
    <w:rsid w:val="00E45DD8"/>
    <w:rsid w:val="00E86A87"/>
    <w:rsid w:val="00E97109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205D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p77_ZolotarevaIV</cp:lastModifiedBy>
  <cp:revision>27</cp:revision>
  <cp:lastPrinted>2021-06-01T08:07:00Z</cp:lastPrinted>
  <dcterms:created xsi:type="dcterms:W3CDTF">2019-10-17T11:19:00Z</dcterms:created>
  <dcterms:modified xsi:type="dcterms:W3CDTF">2022-01-31T13:30:00Z</dcterms:modified>
</cp:coreProperties>
</file>